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5247F" w14:textId="77777777" w:rsidR="00AE5529" w:rsidRPr="00FD027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D027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D027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D027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D027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D027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A16180">
        <w:rPr>
          <w:rFonts w:ascii="Arial" w:hAnsi="Arial" w:cs="Arial"/>
          <w:b/>
          <w:sz w:val="28"/>
          <w:szCs w:val="28"/>
          <w:lang w:val="bg-BG"/>
        </w:rPr>
        <w:t>ретинални венозни оклузии</w:t>
      </w:r>
    </w:p>
    <w:p w14:paraId="0E261872" w14:textId="77777777" w:rsidR="00FD027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66848E00" w14:textId="77777777" w:rsidR="002E3BC3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(</w:t>
      </w:r>
      <w:r w:rsidR="002E3BC3" w:rsidRPr="002E3BC3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064885DF" w14:textId="77777777" w:rsidR="00AE5529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274476C2" w14:textId="77777777" w:rsidR="00FE16E2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Загла</w:t>
      </w:r>
      <w:r w:rsidR="003B07EA">
        <w:rPr>
          <w:rFonts w:ascii="Arial" w:hAnsi="Arial" w:cs="Arial"/>
          <w:sz w:val="22"/>
          <w:szCs w:val="22"/>
          <w:lang w:val="bg-BG"/>
        </w:rPr>
        <w:t>вие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3B07EA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 xml:space="preserve">Препоръки за диагностика и лечение на </w:t>
      </w:r>
      <w:r w:rsidR="00A16180">
        <w:rPr>
          <w:rFonts w:ascii="Arial" w:hAnsi="Arial" w:cs="Arial"/>
          <w:sz w:val="22"/>
          <w:szCs w:val="22"/>
          <w:lang w:val="bg-BG"/>
        </w:rPr>
        <w:t>ретинални венозни оклузии</w:t>
      </w:r>
    </w:p>
    <w:p w14:paraId="088CB38B" w14:textId="77777777" w:rsidR="00324C27" w:rsidRPr="00324C27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18D07E6A" w14:textId="77777777" w:rsidR="00A16180" w:rsidRDefault="007A01B3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Вносител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118E74B7" w14:textId="77777777" w:rsidR="00A16180" w:rsidRPr="00A16180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2120398B" w14:textId="77777777" w:rsidR="00A16180" w:rsidRDefault="00A16180" w:rsidP="00A1618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C4C51A6" w14:textId="77777777" w:rsidR="00A16180" w:rsidRPr="00A16180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46E54A6F" w14:textId="77777777" w:rsidR="002C3411" w:rsidRPr="00A16180" w:rsidRDefault="003644C2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A16180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A16180">
        <w:rPr>
          <w:rFonts w:ascii="Arial" w:hAnsi="Arial" w:cs="Arial"/>
          <w:sz w:val="22"/>
          <w:szCs w:val="22"/>
          <w:lang w:val="bg-BG"/>
        </w:rPr>
        <w:t xml:space="preserve">: модифицирани за България препоръки на </w:t>
      </w:r>
      <w:r w:rsidR="00A16180" w:rsidRPr="00A16180">
        <w:rPr>
          <w:rFonts w:ascii="Arial" w:hAnsi="Arial" w:cs="Arial"/>
          <w:sz w:val="22"/>
          <w:szCs w:val="22"/>
          <w:lang w:val="bg-BG"/>
        </w:rPr>
        <w:t xml:space="preserve">Консенсусен документ на водещите специалисти от </w:t>
      </w:r>
      <w:r w:rsidR="00A16180" w:rsidRPr="00A16180">
        <w:rPr>
          <w:rFonts w:ascii="Arial" w:hAnsi="Arial" w:cs="Arial"/>
          <w:sz w:val="22"/>
          <w:szCs w:val="22"/>
          <w:lang w:val="en-US"/>
        </w:rPr>
        <w:t>EURETINA</w:t>
      </w:r>
      <w:r w:rsidR="00A16180" w:rsidRPr="00A16180">
        <w:rPr>
          <w:rFonts w:ascii="Arial" w:hAnsi="Arial" w:cs="Arial"/>
          <w:sz w:val="22"/>
          <w:szCs w:val="22"/>
          <w:lang w:val="bg-BG"/>
        </w:rPr>
        <w:t xml:space="preserve"> /Европейско дружество на ретиналните специалисти/: </w:t>
      </w:r>
      <w:proofErr w:type="spellStart"/>
      <w:r w:rsidR="00A16180" w:rsidRPr="00A16180">
        <w:rPr>
          <w:rFonts w:ascii="Arial" w:eastAsia="Yu Gothic" w:hAnsi="Arial" w:cs="Arial"/>
          <w:color w:val="221F1F"/>
          <w:sz w:val="22"/>
          <w:szCs w:val="22"/>
          <w:lang w:val="en-US"/>
        </w:rPr>
        <w:t>Ophthalmologica</w:t>
      </w:r>
      <w:proofErr w:type="spellEnd"/>
      <w:r w:rsidR="00A16180" w:rsidRPr="00A16180">
        <w:rPr>
          <w:rFonts w:ascii="Arial" w:eastAsia="Yu Gothic" w:hAnsi="Arial" w:cs="Arial"/>
          <w:color w:val="221F1F"/>
          <w:sz w:val="22"/>
          <w:szCs w:val="22"/>
          <w:lang w:val="en-US"/>
        </w:rPr>
        <w:t xml:space="preserve"> 2011;226:4–28</w:t>
      </w:r>
      <w:r w:rsidR="00A16180" w:rsidRPr="00A16180">
        <w:rPr>
          <w:rFonts w:ascii="Yu Gothic" w:eastAsia="Yu Gothic" w:hAnsi="Times New Roman" w:cs="Yu Gothic"/>
          <w:color w:val="221F1F"/>
          <w:sz w:val="18"/>
          <w:szCs w:val="18"/>
          <w:lang w:val="en-US"/>
        </w:rPr>
        <w:t xml:space="preserve"> </w:t>
      </w:r>
    </w:p>
    <w:p w14:paraId="65656B59" w14:textId="77777777" w:rsidR="00FE16E2" w:rsidRPr="002C3411" w:rsidRDefault="00404B64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2C3411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7ED42C2A" w14:textId="77777777" w:rsidR="00651BA6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>
        <w:rPr>
          <w:rFonts w:ascii="Arial" w:hAnsi="Arial" w:cs="Arial"/>
          <w:sz w:val="22"/>
          <w:szCs w:val="22"/>
          <w:lang w:val="bg-BG"/>
        </w:rPr>
        <w:t>:</w:t>
      </w:r>
      <w:r w:rsidR="00651BA6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2CAF4A9C" w14:textId="77777777" w:rsidR="00651BA6" w:rsidRPr="00651BA6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BCE062E" w14:textId="77777777" w:rsidR="00AB37A9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9C35F3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9C35F3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>
        <w:rPr>
          <w:rFonts w:ascii="Arial" w:hAnsi="Arial" w:cs="Arial"/>
          <w:sz w:val="22"/>
          <w:szCs w:val="22"/>
          <w:lang w:val="bg-BG"/>
        </w:rPr>
        <w:t>– няма</w:t>
      </w:r>
    </w:p>
    <w:p w14:paraId="09D005CE" w14:textId="77777777" w:rsidR="009C35F3" w:rsidRPr="009C35F3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0C7B6351" w14:textId="77777777" w:rsidR="009C35F3" w:rsidRPr="009C35F3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49DC5BB" w14:textId="77777777" w:rsidR="00483D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>
        <w:rPr>
          <w:rFonts w:ascii="Arial" w:hAnsi="Arial" w:cs="Arial"/>
          <w:sz w:val="22"/>
          <w:szCs w:val="22"/>
          <w:lang w:val="bg-BG"/>
        </w:rPr>
        <w:t xml:space="preserve">: </w:t>
      </w:r>
      <w:r w:rsidR="00A16180">
        <w:rPr>
          <w:rFonts w:ascii="Arial" w:hAnsi="Arial" w:cs="Arial"/>
          <w:sz w:val="22"/>
          <w:szCs w:val="22"/>
          <w:lang w:val="bg-BG"/>
        </w:rPr>
        <w:t>централна ретинална венозна оклузия, клонова ретинална венозна оклузия</w:t>
      </w:r>
    </w:p>
    <w:p w14:paraId="63B796AF" w14:textId="77777777" w:rsidR="00F506BA" w:rsidRPr="00F506BA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151CAC3E" w14:textId="77777777" w:rsidR="00F00934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B811A0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B811A0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B811A0">
        <w:rPr>
          <w:rFonts w:ascii="Arial" w:hAnsi="Arial" w:cs="Arial"/>
          <w:sz w:val="22"/>
          <w:szCs w:val="22"/>
          <w:lang w:val="bg-BG"/>
        </w:rPr>
        <w:t xml:space="preserve">на </w:t>
      </w:r>
      <w:r w:rsidR="00FD0277">
        <w:rPr>
          <w:rFonts w:ascii="Arial" w:hAnsi="Arial" w:cs="Arial"/>
          <w:sz w:val="22"/>
          <w:szCs w:val="22"/>
          <w:lang w:val="bg-BG"/>
        </w:rPr>
        <w:t>гайдлайна</w:t>
      </w:r>
      <w:r w:rsidR="00FD0277">
        <w:rPr>
          <w:rFonts w:ascii="Arial" w:hAnsi="Arial" w:cs="Arial"/>
          <w:sz w:val="22"/>
          <w:szCs w:val="22"/>
          <w:lang w:val="en-US"/>
        </w:rPr>
        <w:t>:</w:t>
      </w:r>
    </w:p>
    <w:p w14:paraId="080872E2" w14:textId="77777777" w:rsidR="00B811A0" w:rsidRDefault="00AB44C6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  <w:r w:rsidRPr="00AB44C6">
        <w:rPr>
          <w:rFonts w:ascii="Arial" w:hAnsi="Arial" w:cs="Arial"/>
          <w:sz w:val="22"/>
          <w:szCs w:val="22"/>
          <w:lang w:val="bg-BG"/>
        </w:rPr>
        <w:t xml:space="preserve">Ретиналните венозни  оклузии </w:t>
      </w:r>
      <w:r>
        <w:rPr>
          <w:rFonts w:ascii="Arial" w:hAnsi="Arial" w:cs="Arial"/>
          <w:sz w:val="22"/>
          <w:szCs w:val="22"/>
          <w:lang w:val="bg-BG"/>
        </w:rPr>
        <w:t>се характеризират с дилатация на съдове, интраретинални хеморагии, ексудати и макулен оток. Според локализацията на оклузията те се подразделят на централни, клонови и хемицентрални.</w:t>
      </w:r>
    </w:p>
    <w:p w14:paraId="472C0FF5" w14:textId="77777777" w:rsidR="00AB44C6" w:rsidRDefault="00AB44C6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В зависимост от степента на оклузия могат да бъдат исхемични</w:t>
      </w:r>
      <w:r w:rsidR="006D2A9A">
        <w:rPr>
          <w:rFonts w:ascii="Arial" w:hAnsi="Arial" w:cs="Arial"/>
          <w:sz w:val="22"/>
          <w:szCs w:val="22"/>
          <w:lang w:val="en-US"/>
        </w:rPr>
        <w:t xml:space="preserve">, </w:t>
      </w:r>
      <w:r>
        <w:rPr>
          <w:rFonts w:ascii="Arial" w:hAnsi="Arial" w:cs="Arial"/>
          <w:sz w:val="22"/>
          <w:szCs w:val="22"/>
          <w:lang w:val="bg-BG"/>
        </w:rPr>
        <w:t>едемни</w:t>
      </w:r>
      <w:r w:rsidR="006D2A9A">
        <w:rPr>
          <w:rFonts w:ascii="Arial" w:hAnsi="Arial" w:cs="Arial"/>
          <w:sz w:val="22"/>
          <w:szCs w:val="22"/>
          <w:lang w:val="en-US"/>
        </w:rPr>
        <w:t xml:space="preserve"> </w:t>
      </w:r>
      <w:r w:rsidR="006D2A9A">
        <w:rPr>
          <w:rFonts w:ascii="Arial" w:hAnsi="Arial" w:cs="Arial"/>
          <w:sz w:val="22"/>
          <w:szCs w:val="22"/>
          <w:lang w:val="bg-BG"/>
        </w:rPr>
        <w:t>и смесени</w:t>
      </w:r>
      <w:r>
        <w:rPr>
          <w:rFonts w:ascii="Arial" w:hAnsi="Arial" w:cs="Arial"/>
          <w:sz w:val="22"/>
          <w:szCs w:val="22"/>
          <w:lang w:val="bg-BG"/>
        </w:rPr>
        <w:t>.</w:t>
      </w:r>
    </w:p>
    <w:p w14:paraId="006D0B44" w14:textId="77777777" w:rsidR="00AB44C6" w:rsidRDefault="00AB44C6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>Целта на пропоръките е да се предоставят правила за бърза диагностика и ранно лечение, тъй като при съдовите инциденти то е от съществена важност.</w:t>
      </w:r>
    </w:p>
    <w:p w14:paraId="7255DA56" w14:textId="77777777" w:rsidR="00AB44C6" w:rsidRPr="00AB44C6" w:rsidRDefault="00AB44C6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62A5FCA5" w14:textId="77777777" w:rsidR="00B811A0" w:rsidRDefault="00A16180" w:rsidP="00AB44C6">
      <w:pPr>
        <w:autoSpaceDE w:val="0"/>
        <w:autoSpaceDN w:val="0"/>
        <w:adjustRightInd w:val="0"/>
        <w:rPr>
          <w:rFonts w:ascii="Arial" w:hAnsi="Arial" w:cs="Arial"/>
          <w:sz w:val="22"/>
          <w:szCs w:val="22"/>
          <w:lang w:val="bg-BG"/>
        </w:rPr>
      </w:pPr>
      <w:r>
        <w:rPr>
          <w:rFonts w:ascii="Yu Gothic" w:eastAsia="Yu Gothic" w:hAnsi="Times New Roman" w:cs="Yu Gothic"/>
          <w:color w:val="221F1F"/>
          <w:sz w:val="22"/>
          <w:szCs w:val="22"/>
          <w:lang w:val="en-US"/>
        </w:rPr>
        <w:t xml:space="preserve">  </w:t>
      </w:r>
    </w:p>
    <w:p w14:paraId="14DA1E6F" w14:textId="77777777" w:rsidR="00324C27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0D6AB0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>
        <w:rPr>
          <w:rFonts w:ascii="Arial" w:hAnsi="Arial" w:cs="Arial"/>
          <w:sz w:val="22"/>
          <w:szCs w:val="22"/>
          <w:lang w:val="en-US"/>
        </w:rPr>
        <w:t>:</w:t>
      </w:r>
    </w:p>
    <w:p w14:paraId="0ECE4FA9" w14:textId="77777777" w:rsidR="00324C27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BD2B6E0" w14:textId="77777777" w:rsidR="00A11763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DBE76DA" w14:textId="77777777" w:rsidR="00A11763" w:rsidRPr="00FA06A6" w:rsidRDefault="00FA06A6" w:rsidP="00FA06A6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FA06A6">
        <w:rPr>
          <w:rFonts w:ascii="Arial" w:hAnsi="Arial" w:cs="Arial"/>
          <w:b/>
          <w:sz w:val="22"/>
          <w:szCs w:val="22"/>
          <w:lang w:val="bg-BG"/>
        </w:rPr>
        <w:t xml:space="preserve">Диагностика, превантивни и оперативни мерки при </w:t>
      </w:r>
      <w:r w:rsidR="008629B2">
        <w:rPr>
          <w:rFonts w:ascii="Arial" w:hAnsi="Arial" w:cs="Arial"/>
          <w:b/>
          <w:sz w:val="22"/>
          <w:szCs w:val="22"/>
          <w:lang w:val="bg-BG"/>
        </w:rPr>
        <w:t>ретинални венозни оклузии</w:t>
      </w:r>
      <w:r w:rsidRPr="00FA06A6">
        <w:rPr>
          <w:rFonts w:ascii="Arial" w:hAnsi="Arial" w:cs="Arial"/>
          <w:b/>
          <w:sz w:val="22"/>
          <w:szCs w:val="22"/>
          <w:lang w:val="bg-BG"/>
        </w:rPr>
        <w:t xml:space="preserve"> в зависимост от тежестта</w:t>
      </w:r>
    </w:p>
    <w:p w14:paraId="0EE29457" w14:textId="77777777" w:rsidR="00A11763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25618CEC" w14:textId="77777777" w:rsidR="00A11763" w:rsidRPr="004A2B2E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2A67FFDE" w14:textId="77777777" w:rsidR="00A11763" w:rsidRPr="004A2B2E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5"/>
        <w:gridCol w:w="1101"/>
        <w:gridCol w:w="650"/>
        <w:gridCol w:w="1120"/>
        <w:gridCol w:w="1796"/>
        <w:gridCol w:w="783"/>
        <w:gridCol w:w="1246"/>
        <w:gridCol w:w="929"/>
        <w:gridCol w:w="1199"/>
        <w:gridCol w:w="1311"/>
        <w:gridCol w:w="661"/>
        <w:gridCol w:w="690"/>
      </w:tblGrid>
      <w:tr w:rsidR="00546666" w:rsidRPr="004A2B2E" w14:paraId="1CAFF02D" w14:textId="77777777" w:rsidTr="00546666">
        <w:trPr>
          <w:jc w:val="center"/>
        </w:trPr>
        <w:tc>
          <w:tcPr>
            <w:tcW w:w="1215" w:type="dxa"/>
          </w:tcPr>
          <w:p w14:paraId="72CFC216" w14:textId="77777777" w:rsidR="00546666" w:rsidRPr="004A2B2E" w:rsidRDefault="00546666" w:rsidP="000F7C32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Степен на тежест</w:t>
            </w:r>
          </w:p>
        </w:tc>
        <w:tc>
          <w:tcPr>
            <w:tcW w:w="1101" w:type="dxa"/>
          </w:tcPr>
          <w:p w14:paraId="2755A90D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Зрителна острота</w:t>
            </w:r>
          </w:p>
        </w:tc>
        <w:tc>
          <w:tcPr>
            <w:tcW w:w="650" w:type="dxa"/>
          </w:tcPr>
          <w:p w14:paraId="1C43104C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ВОН</w:t>
            </w:r>
          </w:p>
        </w:tc>
        <w:tc>
          <w:tcPr>
            <w:tcW w:w="1120" w:type="dxa"/>
          </w:tcPr>
          <w:p w14:paraId="53D4EC67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Оглед при мидриаза</w:t>
            </w:r>
          </w:p>
        </w:tc>
        <w:tc>
          <w:tcPr>
            <w:tcW w:w="1796" w:type="dxa"/>
          </w:tcPr>
          <w:p w14:paraId="2A7E1F7C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Флуоресцеинова ангиография</w:t>
            </w:r>
            <w:r>
              <w:rPr>
                <w:rFonts w:ascii="Arial" w:hAnsi="Arial" w:cs="Arial"/>
                <w:sz w:val="20"/>
                <w:szCs w:val="20"/>
                <w:lang w:val="bg-BG"/>
              </w:rPr>
              <w:t>*</w:t>
            </w:r>
          </w:p>
        </w:tc>
        <w:tc>
          <w:tcPr>
            <w:tcW w:w="783" w:type="dxa"/>
          </w:tcPr>
          <w:p w14:paraId="438A9962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ОСТ/ ОСТА</w:t>
            </w:r>
          </w:p>
        </w:tc>
        <w:tc>
          <w:tcPr>
            <w:tcW w:w="1246" w:type="dxa"/>
          </w:tcPr>
          <w:p w14:paraId="372B2D6D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Ехография</w:t>
            </w:r>
          </w:p>
        </w:tc>
        <w:tc>
          <w:tcPr>
            <w:tcW w:w="785" w:type="dxa"/>
          </w:tcPr>
          <w:p w14:paraId="0E7A8CDC" w14:textId="08123B40" w:rsidR="00546666" w:rsidRPr="00AF7C70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Лазер</w:t>
            </w:r>
            <w:r w:rsidR="00CE23AC" w:rsidRPr="00CE23AC">
              <w:rPr>
                <w:rFonts w:ascii="Arial" w:hAnsi="Arial" w:cs="Arial"/>
                <w:color w:val="FF0000"/>
                <w:sz w:val="20"/>
                <w:szCs w:val="20"/>
                <w:lang w:val="bg-BG"/>
              </w:rPr>
              <w:t>**</w:t>
            </w:r>
          </w:p>
        </w:tc>
        <w:tc>
          <w:tcPr>
            <w:tcW w:w="1199" w:type="dxa"/>
          </w:tcPr>
          <w:p w14:paraId="0E7A9ABC" w14:textId="77777777" w:rsidR="00546666" w:rsidRPr="000F7C32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Интра</w:t>
            </w:r>
            <w:r>
              <w:rPr>
                <w:rFonts w:ascii="Arial" w:hAnsi="Arial" w:cs="Arial"/>
                <w:sz w:val="20"/>
                <w:szCs w:val="20"/>
                <w:lang w:val="bg-BG"/>
              </w:rPr>
              <w:t>-</w:t>
            </w: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витреални инжекции</w:t>
            </w:r>
            <w:r>
              <w:rPr>
                <w:rFonts w:ascii="Arial" w:hAnsi="Arial" w:cs="Arial"/>
                <w:sz w:val="20"/>
                <w:szCs w:val="20"/>
                <w:lang w:val="bg-BG"/>
              </w:rPr>
              <w:t>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/</w:t>
            </w:r>
            <w:r>
              <w:rPr>
                <w:rFonts w:ascii="Arial" w:hAnsi="Arial" w:cs="Arial"/>
                <w:sz w:val="20"/>
                <w:szCs w:val="20"/>
                <w:lang w:val="bg-BG"/>
              </w:rPr>
              <w:t>Анти-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VEGF</w:t>
            </w:r>
            <w:r>
              <w:rPr>
                <w:rFonts w:ascii="Arial" w:hAnsi="Arial" w:cs="Arial"/>
                <w:sz w:val="20"/>
                <w:szCs w:val="20"/>
                <w:lang w:val="bg-BG"/>
              </w:rPr>
              <w:t>, стероиди/</w:t>
            </w:r>
          </w:p>
        </w:tc>
        <w:tc>
          <w:tcPr>
            <w:tcW w:w="1233" w:type="dxa"/>
          </w:tcPr>
          <w:p w14:paraId="108EC45D" w14:textId="3E77A87E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Хирургия</w:t>
            </w:r>
            <w:r w:rsidRPr="00CE23AC">
              <w:rPr>
                <w:rFonts w:ascii="Arial" w:hAnsi="Arial" w:cs="Arial"/>
                <w:color w:val="FF0000"/>
                <w:sz w:val="20"/>
                <w:szCs w:val="20"/>
                <w:lang w:val="bg-BG"/>
              </w:rPr>
              <w:t>**</w:t>
            </w:r>
            <w:r w:rsidR="00CE23AC" w:rsidRPr="00CE23AC">
              <w:rPr>
                <w:rFonts w:ascii="Arial" w:hAnsi="Arial" w:cs="Arial"/>
                <w:color w:val="FF0000"/>
                <w:sz w:val="20"/>
                <w:szCs w:val="20"/>
                <w:lang w:val="bg-BG"/>
              </w:rPr>
              <w:t>*</w:t>
            </w:r>
          </w:p>
        </w:tc>
        <w:tc>
          <w:tcPr>
            <w:tcW w:w="661" w:type="dxa"/>
          </w:tcPr>
          <w:p w14:paraId="500FE1C0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Клас</w:t>
            </w:r>
          </w:p>
        </w:tc>
        <w:tc>
          <w:tcPr>
            <w:tcW w:w="690" w:type="dxa"/>
          </w:tcPr>
          <w:p w14:paraId="0C5464E9" w14:textId="77777777" w:rsidR="00546666" w:rsidRPr="004A2B2E" w:rsidRDefault="00546666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A2B2E">
              <w:rPr>
                <w:rFonts w:ascii="Arial" w:hAnsi="Arial" w:cs="Arial"/>
                <w:sz w:val="20"/>
                <w:szCs w:val="20"/>
                <w:lang w:val="bg-BG"/>
              </w:rPr>
              <w:t>Ниво</w:t>
            </w:r>
          </w:p>
        </w:tc>
      </w:tr>
      <w:tr w:rsidR="006D2A9A" w:rsidRPr="004A2B2E" w14:paraId="11E6D953" w14:textId="77777777" w:rsidTr="00546666">
        <w:trPr>
          <w:jc w:val="center"/>
        </w:trPr>
        <w:tc>
          <w:tcPr>
            <w:tcW w:w="1215" w:type="dxa"/>
          </w:tcPr>
          <w:p w14:paraId="249DA44C" w14:textId="77777777" w:rsidR="006D2A9A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ЦВО</w:t>
            </w:r>
          </w:p>
          <w:p w14:paraId="4EB4C90E" w14:textId="77777777" w:rsidR="006D2A9A" w:rsidRPr="00980A8E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исхемична</w:t>
            </w:r>
          </w:p>
        </w:tc>
        <w:tc>
          <w:tcPr>
            <w:tcW w:w="1101" w:type="dxa"/>
          </w:tcPr>
          <w:p w14:paraId="089208F0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50" w:type="dxa"/>
          </w:tcPr>
          <w:p w14:paraId="656D9369" w14:textId="77777777" w:rsid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37BD1423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6BBA5941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3" w:type="dxa"/>
          </w:tcPr>
          <w:p w14:paraId="66FF0AF2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46" w:type="dxa"/>
          </w:tcPr>
          <w:p w14:paraId="6153DB53" w14:textId="77777777" w:rsidR="006D2A9A" w:rsidRPr="001304A7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5" w:type="dxa"/>
          </w:tcPr>
          <w:p w14:paraId="6911F131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705ED02C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33" w:type="dxa"/>
          </w:tcPr>
          <w:p w14:paraId="00650CFE" w14:textId="77777777" w:rsidR="006D2A9A" w:rsidRPr="004A2B2E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61" w:type="dxa"/>
          </w:tcPr>
          <w:p w14:paraId="3FB01A0E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61E46440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6D2A9A" w:rsidRPr="004A2B2E" w14:paraId="0B3572F8" w14:textId="77777777" w:rsidTr="00546666">
        <w:trPr>
          <w:jc w:val="center"/>
        </w:trPr>
        <w:tc>
          <w:tcPr>
            <w:tcW w:w="1215" w:type="dxa"/>
          </w:tcPr>
          <w:p w14:paraId="602BF21C" w14:textId="77777777" w:rsidR="006D2A9A" w:rsidRPr="004A2B2E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ЦВО без исхемия</w:t>
            </w:r>
          </w:p>
        </w:tc>
        <w:tc>
          <w:tcPr>
            <w:tcW w:w="1101" w:type="dxa"/>
          </w:tcPr>
          <w:p w14:paraId="10F3F56A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50" w:type="dxa"/>
          </w:tcPr>
          <w:p w14:paraId="7A1AA3CB" w14:textId="77777777" w:rsid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6B0A9D1A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1139E01D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3" w:type="dxa"/>
          </w:tcPr>
          <w:p w14:paraId="74578123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46" w:type="dxa"/>
          </w:tcPr>
          <w:p w14:paraId="5C021C4A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5" w:type="dxa"/>
          </w:tcPr>
          <w:p w14:paraId="58043765" w14:textId="77777777" w:rsidR="006D2A9A" w:rsidRPr="00AF7C70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34CE08D7" w14:textId="77777777" w:rsidR="006D2A9A" w:rsidRPr="000F7C3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33" w:type="dxa"/>
          </w:tcPr>
          <w:p w14:paraId="5F35F034" w14:textId="77777777" w:rsidR="006D2A9A" w:rsidRPr="001304A7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61" w:type="dxa"/>
          </w:tcPr>
          <w:p w14:paraId="334CDB66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2689B019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6D2A9A" w:rsidRPr="004A2B2E" w14:paraId="34E424D7" w14:textId="77777777" w:rsidTr="00546666">
        <w:trPr>
          <w:jc w:val="center"/>
        </w:trPr>
        <w:tc>
          <w:tcPr>
            <w:tcW w:w="1215" w:type="dxa"/>
          </w:tcPr>
          <w:p w14:paraId="1C885D4D" w14:textId="77777777" w:rsidR="006D2A9A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КВО</w:t>
            </w:r>
          </w:p>
          <w:p w14:paraId="36701835" w14:textId="77777777" w:rsidR="006D2A9A" w:rsidRPr="00D7269C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исхемична</w:t>
            </w:r>
          </w:p>
        </w:tc>
        <w:tc>
          <w:tcPr>
            <w:tcW w:w="1101" w:type="dxa"/>
          </w:tcPr>
          <w:p w14:paraId="055D7CCE" w14:textId="77777777" w:rsidR="006D2A9A" w:rsidRPr="00D7269C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50" w:type="dxa"/>
          </w:tcPr>
          <w:p w14:paraId="6E898C40" w14:textId="77777777" w:rsid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2DD673E7" w14:textId="77777777" w:rsidR="006D2A9A" w:rsidRPr="00D7269C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17293A1D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3" w:type="dxa"/>
          </w:tcPr>
          <w:p w14:paraId="23A7322B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46" w:type="dxa"/>
          </w:tcPr>
          <w:p w14:paraId="603C67F9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5" w:type="dxa"/>
          </w:tcPr>
          <w:p w14:paraId="086D98D2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6F8C7033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33" w:type="dxa"/>
          </w:tcPr>
          <w:p w14:paraId="79B95267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61" w:type="dxa"/>
          </w:tcPr>
          <w:p w14:paraId="559B3F9D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3FE4502A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6D2A9A" w:rsidRPr="004A2B2E" w14:paraId="2DD769A2" w14:textId="77777777" w:rsidTr="00546666">
        <w:trPr>
          <w:jc w:val="center"/>
        </w:trPr>
        <w:tc>
          <w:tcPr>
            <w:tcW w:w="1215" w:type="dxa"/>
          </w:tcPr>
          <w:p w14:paraId="2F660DD2" w14:textId="77777777" w:rsidR="006D2A9A" w:rsidRPr="004A2B2E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КВО без исхемия</w:t>
            </w:r>
          </w:p>
        </w:tc>
        <w:tc>
          <w:tcPr>
            <w:tcW w:w="1101" w:type="dxa"/>
          </w:tcPr>
          <w:p w14:paraId="792CF03A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50" w:type="dxa"/>
          </w:tcPr>
          <w:p w14:paraId="4C08D116" w14:textId="77777777" w:rsid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094A281D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7CF1A252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3" w:type="dxa"/>
          </w:tcPr>
          <w:p w14:paraId="5CED100F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46" w:type="dxa"/>
          </w:tcPr>
          <w:p w14:paraId="0D8DFB6D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5" w:type="dxa"/>
          </w:tcPr>
          <w:p w14:paraId="1AF32E43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7E427383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233" w:type="dxa"/>
          </w:tcPr>
          <w:p w14:paraId="56566B1D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61" w:type="dxa"/>
          </w:tcPr>
          <w:p w14:paraId="4C58218F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6C0C459C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6D2A9A" w:rsidRPr="004A2B2E" w14:paraId="3BAA7E16" w14:textId="77777777" w:rsidTr="00546666">
        <w:trPr>
          <w:jc w:val="center"/>
        </w:trPr>
        <w:tc>
          <w:tcPr>
            <w:tcW w:w="1215" w:type="dxa"/>
          </w:tcPr>
          <w:p w14:paraId="3BFC3E59" w14:textId="77777777" w:rsidR="006D2A9A" w:rsidRPr="006D2A9A" w:rsidRDefault="006D2A9A" w:rsidP="006D2A9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Макулен оток при венозна оклузия</w:t>
            </w:r>
          </w:p>
        </w:tc>
        <w:tc>
          <w:tcPr>
            <w:tcW w:w="1101" w:type="dxa"/>
          </w:tcPr>
          <w:p w14:paraId="56F0B5A5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650" w:type="dxa"/>
          </w:tcPr>
          <w:p w14:paraId="6B75688F" w14:textId="77777777" w:rsid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12392C30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3660F931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783" w:type="dxa"/>
          </w:tcPr>
          <w:p w14:paraId="414498C7" w14:textId="77777777" w:rsidR="006D2A9A" w:rsidRP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246" w:type="dxa"/>
          </w:tcPr>
          <w:p w14:paraId="7FA5EB2C" w14:textId="77777777" w:rsidR="006D2A9A" w:rsidRP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785" w:type="dxa"/>
          </w:tcPr>
          <w:p w14:paraId="1B3BF1DF" w14:textId="77777777" w:rsidR="006D2A9A" w:rsidRPr="006D2A9A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65BAA74A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233" w:type="dxa"/>
          </w:tcPr>
          <w:p w14:paraId="44B0B353" w14:textId="77777777" w:rsidR="006D2A9A" w:rsidRPr="006E0FE2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661" w:type="dxa"/>
          </w:tcPr>
          <w:p w14:paraId="49DC5124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2421B1B0" w14:textId="77777777" w:rsidR="006D2A9A" w:rsidRPr="00FA06A6" w:rsidRDefault="006D2A9A" w:rsidP="006D2A9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16B3E0F8" w14:textId="77777777" w:rsidR="00FD0277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0DCA4ECE" w14:textId="77777777" w:rsidR="00A11763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>
        <w:rPr>
          <w:rFonts w:ascii="Arial" w:hAnsi="Arial" w:cs="Arial"/>
          <w:sz w:val="22"/>
          <w:szCs w:val="22"/>
          <w:lang w:val="bg-BG"/>
        </w:rPr>
        <w:tab/>
      </w:r>
      <w:r>
        <w:rPr>
          <w:rFonts w:ascii="Arial" w:hAnsi="Arial" w:cs="Arial"/>
          <w:sz w:val="22"/>
          <w:szCs w:val="22"/>
          <w:lang w:val="en-US"/>
        </w:rPr>
        <w:t xml:space="preserve">V – </w:t>
      </w:r>
      <w:r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>
        <w:rPr>
          <w:rFonts w:ascii="Arial" w:hAnsi="Arial" w:cs="Arial"/>
          <w:sz w:val="22"/>
          <w:szCs w:val="22"/>
          <w:lang w:val="en-US"/>
        </w:rPr>
        <w:t xml:space="preserve">P – </w:t>
      </w:r>
      <w:r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253DFDF8" w14:textId="77777777" w:rsidR="004A2B2E" w:rsidRPr="006B137D" w:rsidRDefault="000F7C32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lastRenderedPageBreak/>
        <w:t>ЦВО – централна венозна оклузия, КВО – клонова венозна оклузия,</w:t>
      </w:r>
      <w:r w:rsidR="004E0077" w:rsidRPr="006B137D">
        <w:rPr>
          <w:rFonts w:ascii="Arial" w:hAnsi="Arial" w:cs="Arial"/>
          <w:sz w:val="22"/>
          <w:szCs w:val="22"/>
          <w:lang w:val="en-US"/>
        </w:rPr>
        <w:t xml:space="preserve"> </w:t>
      </w:r>
      <w:r w:rsidR="004E0077" w:rsidRPr="006B137D">
        <w:rPr>
          <w:rFonts w:ascii="Arial" w:hAnsi="Arial" w:cs="Arial"/>
          <w:sz w:val="22"/>
          <w:szCs w:val="22"/>
          <w:lang w:val="bg-BG"/>
        </w:rPr>
        <w:t>ОСТ – оптична кохерентна томография, ОСТА – оптична кохерентна томография ангиография</w:t>
      </w:r>
      <w:r w:rsidRPr="006B137D">
        <w:rPr>
          <w:rFonts w:ascii="Arial" w:hAnsi="Arial" w:cs="Arial"/>
          <w:sz w:val="22"/>
          <w:szCs w:val="22"/>
          <w:lang w:val="en-US"/>
        </w:rPr>
        <w:t xml:space="preserve">, </w:t>
      </w:r>
      <w:r w:rsidRPr="006B137D">
        <w:rPr>
          <w:rFonts w:ascii="Arial" w:hAnsi="Arial" w:cs="Arial"/>
          <w:sz w:val="22"/>
          <w:szCs w:val="22"/>
          <w:lang w:val="bg-BG"/>
        </w:rPr>
        <w:t>ВОН – вътреочно налягане</w:t>
      </w:r>
    </w:p>
    <w:p w14:paraId="5644D15C" w14:textId="77777777" w:rsidR="00B811A0" w:rsidRPr="006B137D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29208E17" w14:textId="77777777" w:rsidR="00FD0277" w:rsidRPr="006B137D" w:rsidRDefault="00FD0277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60F7CFC3" w14:textId="77777777" w:rsidR="007E53D0" w:rsidRPr="006B137D" w:rsidRDefault="001304A7" w:rsidP="001304A7">
      <w:pPr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t xml:space="preserve">*  Флуоресцеинова ангиография </w:t>
      </w:r>
      <w:r w:rsidR="007E53D0" w:rsidRPr="006B137D">
        <w:rPr>
          <w:rFonts w:ascii="Arial" w:hAnsi="Arial" w:cs="Arial"/>
          <w:sz w:val="22"/>
          <w:szCs w:val="22"/>
          <w:lang w:val="bg-BG"/>
        </w:rPr>
        <w:t xml:space="preserve">/ФА/ </w:t>
      </w:r>
      <w:r w:rsidRPr="006B137D">
        <w:rPr>
          <w:rFonts w:ascii="Arial" w:hAnsi="Arial" w:cs="Arial"/>
          <w:b/>
          <w:sz w:val="22"/>
          <w:szCs w:val="22"/>
          <w:u w:val="single"/>
          <w:lang w:val="bg-BG"/>
        </w:rPr>
        <w:t>не се извършва</w:t>
      </w:r>
      <w:r w:rsidRPr="006B137D">
        <w:rPr>
          <w:rFonts w:ascii="Arial" w:hAnsi="Arial" w:cs="Arial"/>
          <w:sz w:val="22"/>
          <w:szCs w:val="22"/>
          <w:lang w:val="bg-BG"/>
        </w:rPr>
        <w:t xml:space="preserve"> при анамн</w:t>
      </w:r>
      <w:r w:rsidR="005C5275" w:rsidRPr="006B137D">
        <w:rPr>
          <w:rFonts w:ascii="Arial" w:hAnsi="Arial" w:cs="Arial"/>
          <w:sz w:val="22"/>
          <w:szCs w:val="22"/>
          <w:lang w:val="bg-BG"/>
        </w:rPr>
        <w:t>еза за алергия към Флуоресцеин, поради риск от анафилактичен шок и внезапна смърт</w:t>
      </w:r>
    </w:p>
    <w:p w14:paraId="1DEA49A7" w14:textId="77777777" w:rsidR="007E53D0" w:rsidRPr="006B137D" w:rsidRDefault="007E53D0" w:rsidP="007E53D0">
      <w:pPr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t xml:space="preserve">   При наличие на множество ретинални хеморагии ФА се извършва след резорбция на хеморагиите, поради блокиращ ефект на кръвта върху ретиналната микроциркулация. </w:t>
      </w:r>
    </w:p>
    <w:p w14:paraId="40184F07" w14:textId="12909DAF" w:rsidR="00401859" w:rsidRPr="006B137D" w:rsidRDefault="007E53D0" w:rsidP="007E53D0">
      <w:pPr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t xml:space="preserve">   При случаи на контраиндикации за провеждане на ФА, м</w:t>
      </w:r>
      <w:r w:rsidR="001304A7" w:rsidRPr="006B137D">
        <w:rPr>
          <w:rFonts w:ascii="Arial" w:hAnsi="Arial" w:cs="Arial"/>
          <w:sz w:val="22"/>
          <w:szCs w:val="22"/>
          <w:lang w:val="bg-BG"/>
        </w:rPr>
        <w:t>оже да се замени с ОСТА.</w:t>
      </w:r>
    </w:p>
    <w:p w14:paraId="50FDF4ED" w14:textId="0C5C35C0" w:rsidR="00CE23AC" w:rsidRPr="006B137D" w:rsidRDefault="00CE23AC" w:rsidP="00CE23AC">
      <w:pPr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t>** При наличие на множество ретинални хеморагии лазер-терапията се извършва след резорбция на хеморагиите, поради невъзможност за лазеркоагулиране в зоните на хеморагии. В тези случаи до резорбцията на хеморагиите и завършването на лазер-лечението се препоръчва приложение на анти-</w:t>
      </w:r>
      <w:r w:rsidRPr="006B137D">
        <w:rPr>
          <w:rFonts w:ascii="Arial" w:hAnsi="Arial" w:cs="Arial"/>
          <w:sz w:val="22"/>
          <w:szCs w:val="22"/>
          <w:lang w:val="en-US"/>
        </w:rPr>
        <w:t xml:space="preserve">VEGF </w:t>
      </w:r>
      <w:r w:rsidRPr="006B137D">
        <w:rPr>
          <w:rFonts w:ascii="Arial" w:hAnsi="Arial" w:cs="Arial"/>
          <w:sz w:val="22"/>
          <w:szCs w:val="22"/>
          <w:lang w:val="bg-BG"/>
        </w:rPr>
        <w:t>медикамент (при липса на противопоказания) с цел намаляване на риска от развитието на неоваскуларна глаукома.</w:t>
      </w:r>
    </w:p>
    <w:p w14:paraId="7F9CA4B1" w14:textId="6D5B1D98" w:rsidR="001304A7" w:rsidRPr="006B137D" w:rsidRDefault="001304A7" w:rsidP="00451CC1">
      <w:pPr>
        <w:jc w:val="both"/>
        <w:rPr>
          <w:rFonts w:ascii="Arial" w:hAnsi="Arial" w:cs="Arial"/>
          <w:sz w:val="22"/>
          <w:szCs w:val="22"/>
          <w:lang w:val="bg-BG"/>
        </w:rPr>
      </w:pPr>
      <w:r w:rsidRPr="006B137D">
        <w:rPr>
          <w:rFonts w:ascii="Arial" w:hAnsi="Arial" w:cs="Arial"/>
          <w:sz w:val="22"/>
          <w:szCs w:val="22"/>
          <w:lang w:val="bg-BG"/>
        </w:rPr>
        <w:t>**</w:t>
      </w:r>
      <w:r w:rsidR="00CE23AC" w:rsidRPr="006B137D">
        <w:rPr>
          <w:rFonts w:ascii="Arial" w:hAnsi="Arial" w:cs="Arial"/>
          <w:sz w:val="22"/>
          <w:szCs w:val="22"/>
          <w:lang w:val="bg-BG"/>
        </w:rPr>
        <w:t>*</w:t>
      </w:r>
      <w:r w:rsidRPr="006B137D">
        <w:rPr>
          <w:rFonts w:ascii="Arial" w:hAnsi="Arial" w:cs="Arial"/>
          <w:sz w:val="22"/>
          <w:szCs w:val="22"/>
          <w:lang w:val="bg-BG"/>
        </w:rPr>
        <w:t xml:space="preserve"> Хирургия се предприема при оток на макулата с тракция или епиретинална мембрана, както и при наличие на хемофталм.</w:t>
      </w:r>
    </w:p>
    <w:p w14:paraId="376722BF" w14:textId="77777777" w:rsidR="00401859" w:rsidRPr="006B137D" w:rsidRDefault="00401859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0AACCA63" w14:textId="77777777" w:rsidR="00980A8E" w:rsidRPr="006B137D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21DCF901" w14:textId="77777777" w:rsidR="00980A8E" w:rsidRPr="006B137D" w:rsidRDefault="00980A8E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35496851" w14:textId="77777777" w:rsidR="00DF3708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5C33B3CE" w14:textId="77777777" w:rsidR="00283BFC" w:rsidRPr="00283BFC" w:rsidRDefault="00283BF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283BFC">
        <w:rPr>
          <w:rFonts w:ascii="Arial" w:hAnsi="Arial" w:cs="Arial"/>
          <w:b/>
          <w:sz w:val="22"/>
          <w:szCs w:val="22"/>
          <w:lang w:val="bg-BG"/>
        </w:rPr>
        <w:t>Л</w:t>
      </w:r>
      <w:r w:rsidR="00980A8E">
        <w:rPr>
          <w:rFonts w:ascii="Arial" w:hAnsi="Arial" w:cs="Arial"/>
          <w:b/>
          <w:sz w:val="22"/>
          <w:szCs w:val="22"/>
          <w:lang w:val="bg-BG"/>
        </w:rPr>
        <w:t>ечение на ретинални венозни оклузии</w:t>
      </w:r>
      <w:r w:rsidRPr="00283BFC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4685D182" w14:textId="77777777" w:rsidR="00283BFC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6C342BE" w14:textId="77777777" w:rsidR="00283BFC" w:rsidRPr="00283BFC" w:rsidRDefault="00283BFC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bg-BG"/>
        </w:rPr>
        <w:t xml:space="preserve">Оптимизиране на медикаментозната терапия: стриктен контрол на кръвното </w:t>
      </w:r>
      <w:r w:rsidR="00546666">
        <w:rPr>
          <w:rFonts w:ascii="Arial" w:hAnsi="Arial" w:cs="Arial"/>
          <w:sz w:val="22"/>
          <w:szCs w:val="22"/>
          <w:lang w:val="bg-BG"/>
        </w:rPr>
        <w:t>налягане и дислепидемия, повлияване на коагулационен статус</w:t>
      </w:r>
      <w:r w:rsidR="00F82BD5">
        <w:rPr>
          <w:rFonts w:ascii="Arial" w:hAnsi="Arial" w:cs="Arial"/>
          <w:sz w:val="22"/>
          <w:szCs w:val="22"/>
          <w:lang w:val="bg-BG"/>
        </w:rPr>
        <w:t xml:space="preserve"> по преценка на кардиолог, </w:t>
      </w:r>
      <w:r w:rsidR="00546666">
        <w:rPr>
          <w:rFonts w:ascii="Arial" w:hAnsi="Arial" w:cs="Arial"/>
          <w:sz w:val="22"/>
          <w:szCs w:val="22"/>
          <w:lang w:val="bg-BG"/>
        </w:rPr>
        <w:t>подобряване на гликемичния контрол</w:t>
      </w:r>
      <w:r w:rsidR="00F82BD5">
        <w:rPr>
          <w:rFonts w:ascii="Arial" w:hAnsi="Arial" w:cs="Arial"/>
          <w:sz w:val="22"/>
          <w:szCs w:val="22"/>
          <w:lang w:val="bg-BG"/>
        </w:rPr>
        <w:t xml:space="preserve"> при диабетици</w:t>
      </w:r>
      <w:r w:rsidR="001B2582">
        <w:rPr>
          <w:rFonts w:ascii="Arial" w:hAnsi="Arial" w:cs="Arial"/>
          <w:sz w:val="22"/>
          <w:szCs w:val="22"/>
          <w:lang w:val="bg-BG"/>
        </w:rPr>
        <w:t>, адекватно лечение на глаукома, при наличие на такава</w:t>
      </w:r>
    </w:p>
    <w:p w14:paraId="5BE436AF" w14:textId="77777777" w:rsidR="00ED20F2" w:rsidRPr="00367BF4" w:rsidRDefault="00367BF4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bg-BG"/>
        </w:rPr>
        <w:t>Лазер-терапията при исхемични ретинални венозни оклузии значително редуцира риска от неоваскуларизация и вторична глаукома</w:t>
      </w:r>
    </w:p>
    <w:p w14:paraId="5D12B23C" w14:textId="77777777" w:rsidR="00367BF4" w:rsidRPr="00367BF4" w:rsidRDefault="00367BF4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bg-BG"/>
        </w:rPr>
        <w:t>Лазер-терапията в зоната на оток</w:t>
      </w:r>
      <w:r w:rsidR="006D2A9A">
        <w:rPr>
          <w:rFonts w:ascii="Arial" w:hAnsi="Arial" w:cs="Arial"/>
          <w:sz w:val="22"/>
          <w:szCs w:val="22"/>
          <w:lang w:val="bg-BG"/>
        </w:rPr>
        <w:t>а</w:t>
      </w:r>
      <w:r>
        <w:rPr>
          <w:rFonts w:ascii="Arial" w:hAnsi="Arial" w:cs="Arial"/>
          <w:sz w:val="22"/>
          <w:szCs w:val="22"/>
          <w:lang w:val="bg-BG"/>
        </w:rPr>
        <w:t xml:space="preserve"> при едемните форми на ретиналани венозни оклузии помага за редукция на отока</w:t>
      </w:r>
    </w:p>
    <w:p w14:paraId="314C9FC2" w14:textId="77777777" w:rsidR="00367BF4" w:rsidRPr="00367BF4" w:rsidRDefault="00367BF4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bg-BG"/>
        </w:rPr>
        <w:t>Интравитреални Анти</w:t>
      </w:r>
      <w:r>
        <w:rPr>
          <w:rFonts w:ascii="Arial" w:hAnsi="Arial" w:cs="Arial"/>
          <w:sz w:val="22"/>
          <w:szCs w:val="22"/>
          <w:lang w:val="en-US"/>
        </w:rPr>
        <w:t xml:space="preserve">-VEGF </w:t>
      </w:r>
      <w:r>
        <w:rPr>
          <w:rFonts w:ascii="Arial" w:hAnsi="Arial" w:cs="Arial"/>
          <w:sz w:val="22"/>
          <w:szCs w:val="22"/>
          <w:lang w:val="bg-BG"/>
        </w:rPr>
        <w:t>медикаменти могат да се прилагат, дори при наличие на масивни хеморагии, с цел редукция на макулния оток, който се явява усложнение на ретинални венозни оклузии</w:t>
      </w:r>
    </w:p>
    <w:p w14:paraId="6399A7E5" w14:textId="77777777" w:rsidR="00367BF4" w:rsidRPr="00283BFC" w:rsidRDefault="00367BF4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bg-BG"/>
        </w:rPr>
        <w:t>Интравитреални кортикостероиди се прилагат за лечение на рефрактерен макулен оток, следствие от венозни оклузии</w:t>
      </w:r>
    </w:p>
    <w:p w14:paraId="18CAF4E7" w14:textId="77777777" w:rsidR="00283BFC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3D220D4C" w14:textId="77777777" w:rsidR="00283BFC" w:rsidRPr="00DF3708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5E64EC1B" w14:textId="77777777" w:rsidR="006C45F8" w:rsidRPr="00DF3708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F3708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>
        <w:rPr>
          <w:rFonts w:ascii="Arial" w:hAnsi="Arial" w:cs="Arial"/>
          <w:sz w:val="22"/>
          <w:szCs w:val="22"/>
          <w:lang w:val="bg-BG"/>
        </w:rPr>
        <w:t>:</w:t>
      </w:r>
    </w:p>
    <w:p w14:paraId="60C2BD4B" w14:textId="77777777" w:rsidR="00651624" w:rsidRPr="00651624" w:rsidRDefault="00F82BD5" w:rsidP="00367BF4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16"/>
          <w:szCs w:val="16"/>
        </w:rPr>
      </w:pPr>
      <w:r w:rsidRPr="00F82BD5">
        <w:rPr>
          <w:rFonts w:ascii="Arial" w:hAnsi="Arial" w:cs="Arial"/>
          <w:bCs/>
          <w:color w:val="221F1F"/>
          <w:sz w:val="16"/>
          <w:szCs w:val="16"/>
          <w:lang w:val="en-US"/>
        </w:rPr>
        <w:t>Management of Retinal Vein Occlusion –</w:t>
      </w:r>
      <w:r w:rsidRPr="00F82BD5">
        <w:rPr>
          <w:rFonts w:ascii="Arial" w:hAnsi="Arial" w:cs="Arial"/>
          <w:bCs/>
          <w:color w:val="221F1F"/>
          <w:sz w:val="16"/>
          <w:szCs w:val="16"/>
          <w:lang w:val="bg-BG"/>
        </w:rPr>
        <w:t xml:space="preserve"> </w:t>
      </w:r>
      <w:r w:rsidRPr="00F82BD5">
        <w:rPr>
          <w:rFonts w:ascii="Arial" w:hAnsi="Arial" w:cs="Arial"/>
          <w:bCs/>
          <w:color w:val="221F1F"/>
          <w:sz w:val="16"/>
          <w:szCs w:val="16"/>
          <w:lang w:val="en-US"/>
        </w:rPr>
        <w:t>Consensus Document</w:t>
      </w:r>
      <w:r w:rsidRPr="00F82BD5">
        <w:rPr>
          <w:rFonts w:ascii="Arial" w:hAnsi="Arial" w:cs="Arial"/>
          <w:bCs/>
          <w:color w:val="221F1F"/>
          <w:sz w:val="16"/>
          <w:szCs w:val="16"/>
          <w:lang w:val="bg-BG"/>
        </w:rPr>
        <w:t xml:space="preserve">.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Gabriel </w:t>
      </w:r>
      <w:proofErr w:type="spell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Coscas</w:t>
      </w:r>
      <w:proofErr w:type="spellEnd"/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Anat Loewenstein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Albert Augustin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Francesco Bandello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Maurizio Battaglia Parodi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M. Paolo Lanzetta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Jordi </w:t>
      </w:r>
      <w:proofErr w:type="spell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Monés</w:t>
      </w:r>
      <w:proofErr w:type="spellEnd"/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Marc de Smet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Gisèle </w:t>
      </w:r>
      <w:proofErr w:type="spell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Soubrane</w:t>
      </w:r>
      <w:proofErr w:type="spellEnd"/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, 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Giovanni </w:t>
      </w:r>
      <w:proofErr w:type="spell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Staurenghi</w:t>
      </w:r>
      <w:proofErr w:type="spellEnd"/>
      <w:r w:rsidRPr="00F82BD5">
        <w:rPr>
          <w:rFonts w:ascii="Arial" w:eastAsia="Yu Gothic" w:hAnsi="Arial" w:cs="Arial"/>
          <w:color w:val="221F1F"/>
          <w:sz w:val="16"/>
          <w:szCs w:val="16"/>
          <w:lang w:val="bg-BG"/>
        </w:rPr>
        <w:t>.</w:t>
      </w:r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</w:t>
      </w:r>
      <w:proofErr w:type="spell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Ophthalmologica</w:t>
      </w:r>
      <w:proofErr w:type="spellEnd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</w:t>
      </w:r>
      <w:proofErr w:type="gramStart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2011;226:4</w:t>
      </w:r>
      <w:proofErr w:type="gramEnd"/>
      <w:r w:rsidRPr="00F82BD5">
        <w:rPr>
          <w:rFonts w:ascii="Arial" w:eastAsia="Yu Gothic" w:hAnsi="Arial" w:cs="Arial"/>
          <w:color w:val="221F1F"/>
          <w:sz w:val="16"/>
          <w:szCs w:val="16"/>
          <w:lang w:val="en-US"/>
        </w:rPr>
        <w:t>–28</w:t>
      </w:r>
    </w:p>
    <w:p w14:paraId="29E4DF42" w14:textId="77777777" w:rsidR="00651624" w:rsidRPr="00651624" w:rsidRDefault="00367BF4" w:rsidP="00367BF4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eastAsia="Yu Gothic" w:hAnsi="Arial" w:cs="Arial"/>
          <w:color w:val="221F1F"/>
          <w:sz w:val="16"/>
          <w:szCs w:val="16"/>
          <w:lang w:val="en-US"/>
        </w:rPr>
      </w:pPr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>Branch Vein Occlusion Study Group: Argon laser photocoagulation for macular edema in</w:t>
      </w:r>
      <w:r w:rsidR="00651624" w:rsidRPr="00651624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branch vein occlusion. Am J </w:t>
      </w:r>
      <w:proofErr w:type="spellStart"/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>Ophthalmol</w:t>
      </w:r>
      <w:proofErr w:type="spellEnd"/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</w:t>
      </w:r>
      <w:proofErr w:type="gramStart"/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>1984;</w:t>
      </w:r>
      <w:r w:rsidR="00651624" w:rsidRPr="00651624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 </w:t>
      </w:r>
      <w:proofErr w:type="gramEnd"/>
      <w:r w:rsidRPr="00651624">
        <w:rPr>
          <w:rFonts w:ascii="Arial" w:eastAsia="Yu Gothic" w:hAnsi="Arial" w:cs="Arial"/>
          <w:color w:val="221F1F"/>
          <w:sz w:val="16"/>
          <w:szCs w:val="16"/>
          <w:lang w:val="en-US"/>
        </w:rPr>
        <w:t>98:   271–282.</w:t>
      </w:r>
    </w:p>
    <w:p w14:paraId="4C55A7DD" w14:textId="77777777" w:rsidR="008A6A72" w:rsidRPr="008A6A72" w:rsidRDefault="00367BF4" w:rsidP="008A6A72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eastAsia="Yu Gothic" w:hAnsi="Arial" w:cs="Arial"/>
          <w:color w:val="221F1F"/>
          <w:sz w:val="16"/>
          <w:szCs w:val="16"/>
          <w:lang w:val="en-US"/>
        </w:rPr>
      </w:pP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lastRenderedPageBreak/>
        <w:t>Haller JA, Bandello F, Belfort R Jr, Blumen-</w:t>
      </w:r>
      <w:proofErr w:type="spellStart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kranz</w:t>
      </w:r>
      <w:proofErr w:type="spellEnd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MS, Gillies M, Heier J, Loewenstein A,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Yoon YH, Jacques ML, Jiao J, Li XY, </w:t>
      </w:r>
      <w:proofErr w:type="spellStart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Whitcup</w:t>
      </w:r>
      <w:proofErr w:type="spellEnd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SM: OZURDEX GENEVA Study Group: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randomized, sham-controlled trial of dexamethasone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intravitreal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implant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in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patients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with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macular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edema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due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to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retinal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vein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occlusion.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Ophthalmology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proofErr w:type="gramStart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2010;</w:t>
      </w:r>
      <w:r w:rsidR="00651624"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117</w:t>
      </w:r>
      <w:proofErr w:type="gramEnd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: </w:t>
      </w:r>
      <w:r w:rsidRPr="008A6A72">
        <w:rPr>
          <w:rFonts w:ascii="Arial" w:eastAsia="Yu Gothic" w:hAnsi="Arial" w:cs="Arial"/>
          <w:color w:val="221F1F"/>
          <w:sz w:val="2"/>
          <w:szCs w:val="2"/>
          <w:lang w:val="en-US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1134–1146. </w:t>
      </w:r>
    </w:p>
    <w:p w14:paraId="0D15AEAB" w14:textId="77777777" w:rsidR="008A6A72" w:rsidRPr="008A6A72" w:rsidRDefault="008A6A72" w:rsidP="008A6A72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lang w:val="en-US"/>
        </w:rPr>
      </w:pP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Brown DM, Campochiaro PA, Singh RP, Li Z, Gray S, Saroj N, Rundle AC, Rubio RG,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Murahashi WY, CRUISE Investigators: Ranibizumab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for macular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edema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following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central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retinal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vein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occlusion: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six-month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primary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end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point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results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of a phase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III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study.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Ophthalmology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2010;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117: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1124–1133e1.</w:t>
      </w:r>
    </w:p>
    <w:p w14:paraId="13DA8062" w14:textId="77777777" w:rsidR="00651624" w:rsidRPr="008A6A72" w:rsidRDefault="008A6A72" w:rsidP="008A6A72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lang w:val="en-US"/>
        </w:rPr>
      </w:pP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Campochiaro PA, Heier JS, Feiner L, Gray S,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Saroj N, Rundle AC, Murahashi WY, Rubio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RG, BRAVO Investigators: Ranibizumab for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macular edema following branch retinal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vein occlusion: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six-month primary end point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results of a phase III study. Ophthalmology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proofErr w:type="gramStart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>2010;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eastAsia="Yu Gothic" w:hAnsi="Arial" w:cs="Arial"/>
          <w:color w:val="221F1F"/>
          <w:sz w:val="2"/>
          <w:szCs w:val="2"/>
          <w:lang w:val="en-US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</w:t>
      </w:r>
      <w:proofErr w:type="gramEnd"/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117: </w:t>
      </w:r>
      <w:r w:rsidRPr="008A6A72">
        <w:rPr>
          <w:rFonts w:ascii="Arial" w:eastAsia="Yu Gothic" w:hAnsi="Arial" w:cs="Arial"/>
          <w:color w:val="221F1F"/>
          <w:sz w:val="2"/>
          <w:szCs w:val="2"/>
          <w:lang w:val="en-US"/>
        </w:rPr>
        <w:t xml:space="preserve"> 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en-US"/>
        </w:rPr>
        <w:t xml:space="preserve"> 1102–1112.</w:t>
      </w:r>
      <w:r w:rsidRPr="008A6A72">
        <w:rPr>
          <w:rFonts w:ascii="Arial" w:eastAsia="Yu Gothic" w:hAnsi="Arial" w:cs="Arial"/>
          <w:color w:val="221F1F"/>
          <w:sz w:val="16"/>
          <w:szCs w:val="16"/>
          <w:lang w:val="bg-BG"/>
        </w:rPr>
        <w:t xml:space="preserve"> </w:t>
      </w:r>
      <w:r w:rsidRPr="008A6A72">
        <w:rPr>
          <w:rFonts w:ascii="Arial" w:hAnsi="Arial" w:cs="Arial"/>
          <w:color w:val="000000"/>
          <w:sz w:val="10"/>
          <w:szCs w:val="10"/>
          <w:lang w:val="en-US"/>
        </w:rPr>
        <w:t xml:space="preserve">      </w:t>
      </w:r>
    </w:p>
    <w:p w14:paraId="407BF429" w14:textId="77777777" w:rsidR="00324C27" w:rsidRPr="00AE5529" w:rsidRDefault="00324C27" w:rsidP="00367BF4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sectPr w:rsidR="00324C27" w:rsidRPr="00AE5529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2C343" w14:textId="77777777" w:rsidR="009D7866" w:rsidRDefault="009D7866" w:rsidP="000D6AB0">
      <w:r>
        <w:separator/>
      </w:r>
    </w:p>
  </w:endnote>
  <w:endnote w:type="continuationSeparator" w:id="0">
    <w:p w14:paraId="69EE2D54" w14:textId="77777777" w:rsidR="009D7866" w:rsidRDefault="009D7866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F6239" w14:textId="77777777" w:rsidR="009D7866" w:rsidRDefault="009D7866" w:rsidP="000D6AB0">
      <w:r>
        <w:separator/>
      </w:r>
    </w:p>
  </w:footnote>
  <w:footnote w:type="continuationSeparator" w:id="0">
    <w:p w14:paraId="06C571D5" w14:textId="77777777" w:rsidR="009D7866" w:rsidRDefault="009D7866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0701609">
    <w:abstractNumId w:val="5"/>
  </w:num>
  <w:num w:numId="2" w16cid:durableId="2018997540">
    <w:abstractNumId w:val="4"/>
  </w:num>
  <w:num w:numId="3" w16cid:durableId="2055349426">
    <w:abstractNumId w:val="3"/>
  </w:num>
  <w:num w:numId="4" w16cid:durableId="2077580366">
    <w:abstractNumId w:val="6"/>
  </w:num>
  <w:num w:numId="5" w16cid:durableId="1667127751">
    <w:abstractNumId w:val="7"/>
  </w:num>
  <w:num w:numId="6" w16cid:durableId="911239001">
    <w:abstractNumId w:val="2"/>
  </w:num>
  <w:num w:numId="7" w16cid:durableId="64183164">
    <w:abstractNumId w:val="9"/>
  </w:num>
  <w:num w:numId="8" w16cid:durableId="1007711183">
    <w:abstractNumId w:val="8"/>
  </w:num>
  <w:num w:numId="9" w16cid:durableId="694959101">
    <w:abstractNumId w:val="0"/>
  </w:num>
  <w:num w:numId="10" w16cid:durableId="435828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43692"/>
    <w:rsid w:val="00053BA3"/>
    <w:rsid w:val="00076FCF"/>
    <w:rsid w:val="000903D2"/>
    <w:rsid w:val="00097C95"/>
    <w:rsid w:val="000A5D92"/>
    <w:rsid w:val="000A7B35"/>
    <w:rsid w:val="000B3835"/>
    <w:rsid w:val="000B6F3F"/>
    <w:rsid w:val="000D6AB0"/>
    <w:rsid w:val="000D6B37"/>
    <w:rsid w:val="000E7918"/>
    <w:rsid w:val="000F7C32"/>
    <w:rsid w:val="00123855"/>
    <w:rsid w:val="001304A7"/>
    <w:rsid w:val="001304AC"/>
    <w:rsid w:val="00175955"/>
    <w:rsid w:val="001B2582"/>
    <w:rsid w:val="001B4697"/>
    <w:rsid w:val="001D3311"/>
    <w:rsid w:val="00201496"/>
    <w:rsid w:val="00211471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6A4B"/>
    <w:rsid w:val="002A1A92"/>
    <w:rsid w:val="002C3411"/>
    <w:rsid w:val="002C5F90"/>
    <w:rsid w:val="002C5FBA"/>
    <w:rsid w:val="002D3847"/>
    <w:rsid w:val="002E3BC3"/>
    <w:rsid w:val="002E5680"/>
    <w:rsid w:val="0030241C"/>
    <w:rsid w:val="00302C49"/>
    <w:rsid w:val="00306525"/>
    <w:rsid w:val="00324C27"/>
    <w:rsid w:val="003545DC"/>
    <w:rsid w:val="003644C2"/>
    <w:rsid w:val="00367BF4"/>
    <w:rsid w:val="0037575C"/>
    <w:rsid w:val="003B07EA"/>
    <w:rsid w:val="003C570A"/>
    <w:rsid w:val="003D2511"/>
    <w:rsid w:val="003E1E23"/>
    <w:rsid w:val="003F60E1"/>
    <w:rsid w:val="00401859"/>
    <w:rsid w:val="00404B64"/>
    <w:rsid w:val="00411BE8"/>
    <w:rsid w:val="00424711"/>
    <w:rsid w:val="0044156C"/>
    <w:rsid w:val="0044551A"/>
    <w:rsid w:val="00451CC1"/>
    <w:rsid w:val="00483D27"/>
    <w:rsid w:val="00485524"/>
    <w:rsid w:val="004A0B45"/>
    <w:rsid w:val="004A2B2E"/>
    <w:rsid w:val="004A6D64"/>
    <w:rsid w:val="004B5626"/>
    <w:rsid w:val="004C177F"/>
    <w:rsid w:val="004C6271"/>
    <w:rsid w:val="004E0077"/>
    <w:rsid w:val="004F2C61"/>
    <w:rsid w:val="004F46EB"/>
    <w:rsid w:val="00511820"/>
    <w:rsid w:val="00523F54"/>
    <w:rsid w:val="0054398F"/>
    <w:rsid w:val="00545E0B"/>
    <w:rsid w:val="00546666"/>
    <w:rsid w:val="00550463"/>
    <w:rsid w:val="005522AC"/>
    <w:rsid w:val="00575E41"/>
    <w:rsid w:val="00584FFB"/>
    <w:rsid w:val="0058617F"/>
    <w:rsid w:val="005B0217"/>
    <w:rsid w:val="005B5E28"/>
    <w:rsid w:val="005C5275"/>
    <w:rsid w:val="005C6BD7"/>
    <w:rsid w:val="005D2E6E"/>
    <w:rsid w:val="005E7C3F"/>
    <w:rsid w:val="0060012E"/>
    <w:rsid w:val="00614B3F"/>
    <w:rsid w:val="00651624"/>
    <w:rsid w:val="00651BA6"/>
    <w:rsid w:val="00652A0B"/>
    <w:rsid w:val="0067792D"/>
    <w:rsid w:val="00686867"/>
    <w:rsid w:val="006A0FED"/>
    <w:rsid w:val="006B137D"/>
    <w:rsid w:val="006C0598"/>
    <w:rsid w:val="006C25BD"/>
    <w:rsid w:val="006C45F8"/>
    <w:rsid w:val="006D2A9A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E53D0"/>
    <w:rsid w:val="007F5974"/>
    <w:rsid w:val="00805A3B"/>
    <w:rsid w:val="00812B25"/>
    <w:rsid w:val="00814806"/>
    <w:rsid w:val="00827CBD"/>
    <w:rsid w:val="0084599B"/>
    <w:rsid w:val="008560B6"/>
    <w:rsid w:val="008629B2"/>
    <w:rsid w:val="00862FCA"/>
    <w:rsid w:val="00876364"/>
    <w:rsid w:val="00895967"/>
    <w:rsid w:val="008A6A72"/>
    <w:rsid w:val="008A6ADC"/>
    <w:rsid w:val="008A7917"/>
    <w:rsid w:val="008D3CE3"/>
    <w:rsid w:val="00900C15"/>
    <w:rsid w:val="00940330"/>
    <w:rsid w:val="0094576F"/>
    <w:rsid w:val="00963DEE"/>
    <w:rsid w:val="00980A8E"/>
    <w:rsid w:val="00982D14"/>
    <w:rsid w:val="009A6F27"/>
    <w:rsid w:val="009C35F3"/>
    <w:rsid w:val="009D38E5"/>
    <w:rsid w:val="009D7866"/>
    <w:rsid w:val="009E204C"/>
    <w:rsid w:val="00A11763"/>
    <w:rsid w:val="00A1431C"/>
    <w:rsid w:val="00A16180"/>
    <w:rsid w:val="00A16B16"/>
    <w:rsid w:val="00A33A68"/>
    <w:rsid w:val="00A62D4F"/>
    <w:rsid w:val="00AA47B5"/>
    <w:rsid w:val="00AB37A9"/>
    <w:rsid w:val="00AB44C6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811A0"/>
    <w:rsid w:val="00B90302"/>
    <w:rsid w:val="00B94488"/>
    <w:rsid w:val="00B97060"/>
    <w:rsid w:val="00BC3367"/>
    <w:rsid w:val="00BC6CE0"/>
    <w:rsid w:val="00C05FD6"/>
    <w:rsid w:val="00C20F0E"/>
    <w:rsid w:val="00C247D9"/>
    <w:rsid w:val="00C30C03"/>
    <w:rsid w:val="00C376B6"/>
    <w:rsid w:val="00C531F0"/>
    <w:rsid w:val="00C80C86"/>
    <w:rsid w:val="00CB3C18"/>
    <w:rsid w:val="00CE122D"/>
    <w:rsid w:val="00CE23AC"/>
    <w:rsid w:val="00CE7516"/>
    <w:rsid w:val="00D0402B"/>
    <w:rsid w:val="00D1093D"/>
    <w:rsid w:val="00D125F3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B467C"/>
    <w:rsid w:val="00DF3708"/>
    <w:rsid w:val="00DF397D"/>
    <w:rsid w:val="00DF64E5"/>
    <w:rsid w:val="00E04232"/>
    <w:rsid w:val="00E155D5"/>
    <w:rsid w:val="00E20AF9"/>
    <w:rsid w:val="00E36D9F"/>
    <w:rsid w:val="00E83A54"/>
    <w:rsid w:val="00EA51DC"/>
    <w:rsid w:val="00EB3C29"/>
    <w:rsid w:val="00EC41F5"/>
    <w:rsid w:val="00EC54B2"/>
    <w:rsid w:val="00ED20F2"/>
    <w:rsid w:val="00ED5BF0"/>
    <w:rsid w:val="00ED6AEB"/>
    <w:rsid w:val="00F00934"/>
    <w:rsid w:val="00F00DB5"/>
    <w:rsid w:val="00F13D46"/>
    <w:rsid w:val="00F31804"/>
    <w:rsid w:val="00F3533C"/>
    <w:rsid w:val="00F378BD"/>
    <w:rsid w:val="00F506BA"/>
    <w:rsid w:val="00F52851"/>
    <w:rsid w:val="00F53C5F"/>
    <w:rsid w:val="00F82BD5"/>
    <w:rsid w:val="00FA06A6"/>
    <w:rsid w:val="00FC550F"/>
    <w:rsid w:val="00FD0277"/>
    <w:rsid w:val="00FE16E2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A5AB8"/>
  <w15:docId w15:val="{6A34F61F-2560-4DBC-859D-D9C89A81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3AC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765</Words>
  <Characters>4361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5116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2025-04-05T18:44:00Z</dcterms:created>
  <dcterms:modified xsi:type="dcterms:W3CDTF">2025-04-05T18:44:00Z</dcterms:modified>
</cp:coreProperties>
</file>